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ayout w:type="fixed"/>
        <w:tblLook w:val="0000"/>
      </w:tblPr>
      <w:tblGrid>
        <w:gridCol w:w="1702"/>
        <w:gridCol w:w="6804"/>
        <w:gridCol w:w="1417"/>
      </w:tblGrid>
      <w:tr w:rsidR="005C3BFC" w:rsidRPr="00FA7662" w:rsidTr="009968FC">
        <w:trPr>
          <w:trHeight w:val="1842"/>
        </w:trPr>
        <w:tc>
          <w:tcPr>
            <w:tcW w:w="1702" w:type="dxa"/>
            <w:tcBorders>
              <w:top w:val="nil"/>
              <w:left w:val="nil"/>
              <w:bottom w:val="nil"/>
              <w:right w:val="nil"/>
            </w:tcBorders>
          </w:tcPr>
          <w:p w:rsidR="005C3BFC" w:rsidRPr="00FA7662" w:rsidRDefault="00CC1BA0" w:rsidP="009968FC">
            <w:r>
              <w:rPr>
                <w:noProof/>
              </w:rPr>
              <w:drawing>
                <wp:inline distT="0" distB="0" distL="0" distR="0">
                  <wp:extent cx="923290" cy="690245"/>
                  <wp:effectExtent l="19050" t="0" r="0" b="0"/>
                  <wp:docPr id="1" name="Immagine 1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LOGO2"/>
                          <pic:cNvPicPr>
                            <a:picLocks noChangeAspect="1" noChangeArrowheads="1"/>
                          </pic:cNvPicPr>
                        </pic:nvPicPr>
                        <pic:blipFill>
                          <a:blip r:embed="rId7"/>
                          <a:srcRect/>
                          <a:stretch>
                            <a:fillRect/>
                          </a:stretch>
                        </pic:blipFill>
                        <pic:spPr bwMode="auto">
                          <a:xfrm>
                            <a:off x="0" y="0"/>
                            <a:ext cx="923290" cy="690245"/>
                          </a:xfrm>
                          <a:prstGeom prst="rect">
                            <a:avLst/>
                          </a:prstGeom>
                          <a:noFill/>
                          <a:ln w="9525">
                            <a:noFill/>
                            <a:miter lim="800000"/>
                            <a:headEnd/>
                            <a:tailEnd/>
                          </a:ln>
                        </pic:spPr>
                      </pic:pic>
                    </a:graphicData>
                  </a:graphic>
                </wp:inline>
              </w:drawing>
            </w:r>
          </w:p>
          <w:p w:rsidR="005C3BFC" w:rsidRPr="00FA7662" w:rsidRDefault="005C3BFC" w:rsidP="009968FC">
            <w:pPr>
              <w:pStyle w:val="Rientrocorpodeltesto"/>
            </w:pPr>
          </w:p>
        </w:tc>
        <w:tc>
          <w:tcPr>
            <w:tcW w:w="6804" w:type="dxa"/>
            <w:tcBorders>
              <w:top w:val="nil"/>
              <w:left w:val="nil"/>
              <w:bottom w:val="nil"/>
              <w:right w:val="nil"/>
            </w:tcBorders>
          </w:tcPr>
          <w:p w:rsidR="005C3BFC" w:rsidRPr="00FA7662" w:rsidRDefault="005C3BFC" w:rsidP="009968FC">
            <w:pPr>
              <w:rPr>
                <w:sz w:val="28"/>
                <w:szCs w:val="28"/>
              </w:rPr>
            </w:pPr>
          </w:p>
          <w:p w:rsidR="005C3BFC" w:rsidRPr="00FA7662" w:rsidRDefault="00CC1BA0" w:rsidP="009968FC">
            <w:pPr>
              <w:pStyle w:val="Intestazione"/>
              <w:jc w:val="center"/>
              <w:rPr>
                <w:b/>
                <w:bCs/>
                <w:i/>
                <w:iCs/>
                <w:sz w:val="28"/>
                <w:szCs w:val="28"/>
              </w:rPr>
            </w:pPr>
            <w:r>
              <w:rPr>
                <w:b/>
                <w:i/>
                <w:noProof/>
                <w:sz w:val="28"/>
                <w:szCs w:val="28"/>
              </w:rPr>
              <w:drawing>
                <wp:inline distT="0" distB="0" distL="0" distR="0">
                  <wp:extent cx="431165" cy="293370"/>
                  <wp:effectExtent l="19050" t="0" r="6985" b="0"/>
                  <wp:docPr id="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8"/>
                          <a:srcRect/>
                          <a:stretch>
                            <a:fillRect/>
                          </a:stretch>
                        </pic:blipFill>
                        <pic:spPr bwMode="auto">
                          <a:xfrm>
                            <a:off x="0" y="0"/>
                            <a:ext cx="431165" cy="293370"/>
                          </a:xfrm>
                          <a:prstGeom prst="rect">
                            <a:avLst/>
                          </a:prstGeom>
                          <a:noFill/>
                          <a:ln w="9525">
                            <a:noFill/>
                            <a:miter lim="800000"/>
                            <a:headEnd/>
                            <a:tailEnd/>
                          </a:ln>
                        </pic:spPr>
                      </pic:pic>
                    </a:graphicData>
                  </a:graphic>
                </wp:inline>
              </w:drawing>
            </w:r>
            <w:r w:rsidR="005C3BFC" w:rsidRPr="00FA7662">
              <w:rPr>
                <w:b/>
                <w:bCs/>
                <w:i/>
                <w:iCs/>
                <w:sz w:val="28"/>
                <w:szCs w:val="28"/>
              </w:rPr>
              <w:t xml:space="preserve"> </w:t>
            </w:r>
            <w:r>
              <w:rPr>
                <w:rFonts w:ascii="Palatino Linotype" w:hAnsi="Palatino Linotype" w:cs="Palatino Linotype"/>
                <w:noProof/>
              </w:rPr>
              <w:drawing>
                <wp:inline distT="0" distB="0" distL="0" distR="0">
                  <wp:extent cx="431165" cy="353695"/>
                  <wp:effectExtent l="19050" t="0" r="6985" b="0"/>
                  <wp:docPr id="3"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9"/>
                          <a:srcRect/>
                          <a:stretch>
                            <a:fillRect/>
                          </a:stretch>
                        </pic:blipFill>
                        <pic:spPr bwMode="auto">
                          <a:xfrm>
                            <a:off x="0" y="0"/>
                            <a:ext cx="431165" cy="353695"/>
                          </a:xfrm>
                          <a:prstGeom prst="rect">
                            <a:avLst/>
                          </a:prstGeom>
                          <a:solidFill>
                            <a:srgbClr val="FFFFFF"/>
                          </a:solidFill>
                          <a:ln w="9525">
                            <a:noFill/>
                            <a:miter lim="800000"/>
                            <a:headEnd/>
                            <a:tailEnd/>
                          </a:ln>
                        </pic:spPr>
                      </pic:pic>
                    </a:graphicData>
                  </a:graphic>
                </wp:inline>
              </w:drawing>
            </w:r>
            <w:r>
              <w:rPr>
                <w:rFonts w:ascii="Arial" w:hAnsi="Arial" w:cs="Arial"/>
                <w:noProof/>
                <w:color w:val="1A0DAB"/>
                <w:sz w:val="18"/>
                <w:szCs w:val="18"/>
              </w:rPr>
              <w:drawing>
                <wp:inline distT="0" distB="0" distL="0" distR="0">
                  <wp:extent cx="387985" cy="284480"/>
                  <wp:effectExtent l="19050" t="0" r="0" b="0"/>
                  <wp:docPr id="4" name="Immagine 1" descr="https://encrypted-tbn3.gstatic.com/images?q=tbn:ANd9GcTR_GUI5EPyOEK6um2kyg6eACYYnj1haXG9MxGdoujDVTj1_iFcOIaXl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10"/>
                          </pic:cNvPr>
                          <pic:cNvPicPr>
                            <a:picLocks noChangeAspect="1" noChangeArrowheads="1"/>
                          </pic:cNvPicPr>
                        </pic:nvPicPr>
                        <pic:blipFill>
                          <a:blip r:embed="rId11"/>
                          <a:srcRect/>
                          <a:stretch>
                            <a:fillRect/>
                          </a:stretch>
                        </pic:blipFill>
                        <pic:spPr bwMode="auto">
                          <a:xfrm>
                            <a:off x="0" y="0"/>
                            <a:ext cx="387985" cy="284480"/>
                          </a:xfrm>
                          <a:prstGeom prst="rect">
                            <a:avLst/>
                          </a:prstGeom>
                          <a:noFill/>
                          <a:ln w="9525">
                            <a:noFill/>
                            <a:miter lim="800000"/>
                            <a:headEnd/>
                            <a:tailEnd/>
                          </a:ln>
                        </pic:spPr>
                      </pic:pic>
                    </a:graphicData>
                  </a:graphic>
                </wp:inline>
              </w:drawing>
            </w:r>
          </w:p>
          <w:p w:rsidR="005C3BFC" w:rsidRPr="00FA7662" w:rsidRDefault="005C3BFC" w:rsidP="00E02776">
            <w:pPr>
              <w:pStyle w:val="Titolo1"/>
              <w:jc w:val="center"/>
              <w:rPr>
                <w:rFonts w:ascii="Bernhard Modern Roman" w:hAnsi="Bernhard Modern Roman"/>
                <w:b/>
                <w:sz w:val="20"/>
              </w:rPr>
            </w:pPr>
            <w:r w:rsidRPr="00FA7662">
              <w:rPr>
                <w:rFonts w:ascii="Bernhard Modern Roman" w:hAnsi="Bernhard Modern Roman"/>
                <w:b/>
                <w:sz w:val="20"/>
              </w:rPr>
              <w:t>Distretto Scolastico n. 17</w:t>
            </w:r>
          </w:p>
          <w:p w:rsidR="005C3BFC" w:rsidRPr="00FA7662" w:rsidRDefault="005C3BFC" w:rsidP="00E02776">
            <w:pPr>
              <w:pStyle w:val="Titolo1"/>
              <w:jc w:val="center"/>
              <w:rPr>
                <w:rFonts w:ascii="Bernhard Modern Roman" w:hAnsi="Bernhard Modern Roman"/>
              </w:rPr>
            </w:pPr>
            <w:r w:rsidRPr="00FA7662">
              <w:t>I</w:t>
            </w:r>
            <w:r w:rsidRPr="00FA7662">
              <w:rPr>
                <w:smallCaps/>
              </w:rPr>
              <w:t>STITUTO</w:t>
            </w:r>
            <w:r w:rsidRPr="00FA7662">
              <w:t xml:space="preserve">   DI  ISTRUZIONE  SUPERIORE</w:t>
            </w:r>
          </w:p>
          <w:p w:rsidR="005C3BFC" w:rsidRPr="00FA7662" w:rsidRDefault="005C3BFC" w:rsidP="00E02776">
            <w:pPr>
              <w:pStyle w:val="Titolo1"/>
              <w:jc w:val="center"/>
              <w:rPr>
                <w:rFonts w:ascii="Verdana" w:hAnsi="Verdana" w:cs="Arial"/>
                <w:sz w:val="22"/>
              </w:rPr>
            </w:pPr>
            <w:r w:rsidRPr="00FA7662">
              <w:rPr>
                <w:rFonts w:ascii="Verdana" w:hAnsi="Verdana" w:cs="Arial"/>
                <w:sz w:val="22"/>
              </w:rPr>
              <w:t>LICEO SCIENTIFICO – IPSIA – ITC -ITI</w:t>
            </w:r>
          </w:p>
          <w:p w:rsidR="005C3BFC" w:rsidRPr="00FA7662" w:rsidRDefault="005C3BFC" w:rsidP="00E02776">
            <w:pPr>
              <w:pStyle w:val="Titolo4"/>
              <w:jc w:val="center"/>
              <w:rPr>
                <w:rFonts w:ascii="Bernhard Modern Roman" w:hAnsi="Bernhard Modern Roman"/>
              </w:rPr>
            </w:pPr>
            <w:r w:rsidRPr="00FA7662">
              <w:rPr>
                <w:rFonts w:ascii="Bernhard Modern Roman" w:hAnsi="Bernhard Modern Roman"/>
              </w:rPr>
              <w:t>87032  AMANTEA Via S. Antonio</w:t>
            </w:r>
          </w:p>
          <w:p w:rsidR="005C3BFC" w:rsidRPr="00FA7662" w:rsidRDefault="005C3BFC" w:rsidP="00E02776">
            <w:pPr>
              <w:jc w:val="center"/>
            </w:pPr>
            <w:r w:rsidRPr="00FA7662">
              <w:sym w:font="Wingdings" w:char="F028"/>
            </w:r>
            <w:r w:rsidRPr="00FA7662">
              <w:t xml:space="preserve"> Centralino  0982/ 41969</w:t>
            </w:r>
          </w:p>
          <w:p w:rsidR="005C3BFC" w:rsidRPr="00FA7662" w:rsidRDefault="005C3BFC" w:rsidP="00E02776">
            <w:pPr>
              <w:jc w:val="center"/>
            </w:pPr>
            <w:r w:rsidRPr="00FA7662">
              <w:t xml:space="preserve">(Uffici)  E-mail: </w:t>
            </w:r>
            <w:hyperlink r:id="rId12" w:history="1">
              <w:r w:rsidRPr="00FA7662">
                <w:rPr>
                  <w:rStyle w:val="Collegamentoipertestuale"/>
                </w:rPr>
                <w:t>CSIS014008@istruzione.it</w:t>
              </w:r>
            </w:hyperlink>
          </w:p>
          <w:p w:rsidR="005C3BFC" w:rsidRPr="00FA7662" w:rsidRDefault="005C3BFC" w:rsidP="00E02776">
            <w:pPr>
              <w:jc w:val="center"/>
              <w:rPr>
                <w:sz w:val="28"/>
                <w:szCs w:val="28"/>
              </w:rPr>
            </w:pPr>
            <w:r w:rsidRPr="00FA7662">
              <w:t xml:space="preserve">Siti: </w:t>
            </w:r>
            <w:r w:rsidRPr="00FA7662">
              <w:rPr>
                <w:rFonts w:ascii="Arial" w:hAnsi="Arial" w:cs="Arial"/>
                <w:color w:val="333333"/>
                <w:sz w:val="18"/>
                <w:szCs w:val="18"/>
                <w:shd w:val="clear" w:color="auto" w:fill="FFFFFF"/>
              </w:rPr>
              <w:t> </w:t>
            </w:r>
            <w:hyperlink r:id="rId13" w:history="1">
              <w:r w:rsidRPr="00FA7662">
                <w:rPr>
                  <w:rStyle w:val="Collegamentoipertestuale"/>
                  <w:rFonts w:ascii="Segoe UI" w:hAnsi="Segoe UI" w:cs="Segoe UI"/>
                  <w:sz w:val="18"/>
                  <w:szCs w:val="18"/>
                  <w:shd w:val="clear" w:color="auto" w:fill="FFFFFF"/>
                </w:rPr>
                <w:t>www.iispoloamantea.gov.it/</w:t>
              </w:r>
            </w:hyperlink>
          </w:p>
        </w:tc>
        <w:tc>
          <w:tcPr>
            <w:tcW w:w="1417" w:type="dxa"/>
            <w:tcBorders>
              <w:top w:val="nil"/>
              <w:left w:val="nil"/>
              <w:bottom w:val="nil"/>
              <w:right w:val="nil"/>
            </w:tcBorders>
          </w:tcPr>
          <w:p w:rsidR="005C3BFC" w:rsidRPr="00FA7662" w:rsidRDefault="00CC1BA0" w:rsidP="009968FC">
            <w:pPr>
              <w:jc w:val="center"/>
            </w:pPr>
            <w:r>
              <w:rPr>
                <w:noProof/>
              </w:rPr>
              <w:drawing>
                <wp:inline distT="0" distB="0" distL="0" distR="0">
                  <wp:extent cx="500380" cy="543560"/>
                  <wp:effectExtent l="19050" t="0" r="0" b="0"/>
                  <wp:docPr id="5" name="Immagine 2"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3"/>
                          <pic:cNvPicPr>
                            <a:picLocks noChangeAspect="1" noChangeArrowheads="1"/>
                          </pic:cNvPicPr>
                        </pic:nvPicPr>
                        <pic:blipFill>
                          <a:blip r:embed="rId14"/>
                          <a:srcRect/>
                          <a:stretch>
                            <a:fillRect/>
                          </a:stretch>
                        </pic:blipFill>
                        <pic:spPr bwMode="auto">
                          <a:xfrm>
                            <a:off x="0" y="0"/>
                            <a:ext cx="500380" cy="543560"/>
                          </a:xfrm>
                          <a:prstGeom prst="rect">
                            <a:avLst/>
                          </a:prstGeom>
                          <a:noFill/>
                          <a:ln w="9525">
                            <a:noFill/>
                            <a:miter lim="800000"/>
                            <a:headEnd/>
                            <a:tailEnd/>
                          </a:ln>
                        </pic:spPr>
                      </pic:pic>
                    </a:graphicData>
                  </a:graphic>
                </wp:inline>
              </w:drawing>
            </w:r>
          </w:p>
        </w:tc>
      </w:tr>
    </w:tbl>
    <w:p w:rsidR="005C3BFC" w:rsidRDefault="005C3BFC">
      <w:pPr>
        <w:jc w:val="both"/>
        <w:rPr>
          <w:color w:val="333333"/>
          <w:sz w:val="18"/>
          <w:szCs w:val="18"/>
        </w:rPr>
      </w:pPr>
    </w:p>
    <w:p w:rsidR="005C3BFC" w:rsidRDefault="005C3BFC">
      <w:pPr>
        <w:jc w:val="both"/>
        <w:rPr>
          <w:color w:val="333333"/>
          <w:sz w:val="18"/>
          <w:szCs w:val="18"/>
        </w:rPr>
      </w:pPr>
    </w:p>
    <w:p w:rsidR="005C3BFC" w:rsidRDefault="005C3BFC">
      <w:pPr>
        <w:jc w:val="both"/>
        <w:rPr>
          <w:color w:val="333333"/>
          <w:sz w:val="18"/>
          <w:szCs w:val="18"/>
        </w:rPr>
      </w:pPr>
      <w:r>
        <w:rPr>
          <w:color w:val="333333"/>
          <w:sz w:val="18"/>
          <w:szCs w:val="18"/>
        </w:rPr>
        <w:t>Prot. N° 6512 C12 del 15/10/2015</w:t>
      </w:r>
    </w:p>
    <w:p w:rsidR="005C3BFC" w:rsidRDefault="005C3BFC">
      <w:pPr>
        <w:jc w:val="both"/>
        <w:rPr>
          <w:rFonts w:ascii="Arial" w:hAnsi="Arial" w:cs="Arial"/>
          <w:color w:val="333333"/>
          <w:sz w:val="18"/>
          <w:szCs w:val="18"/>
        </w:rPr>
      </w:pPr>
    </w:p>
    <w:p w:rsidR="005C3BFC" w:rsidRDefault="005C3BFC">
      <w:pPr>
        <w:jc w:val="center"/>
        <w:rPr>
          <w:rFonts w:ascii="Arial" w:hAnsi="Arial" w:cs="Arial"/>
          <w:b/>
          <w:bCs/>
          <w:color w:val="333333"/>
        </w:rPr>
      </w:pPr>
      <w:r>
        <w:rPr>
          <w:rFonts w:ascii="Arial" w:hAnsi="Arial" w:cs="Arial"/>
          <w:b/>
          <w:bCs/>
          <w:color w:val="333333"/>
        </w:rPr>
        <w:t xml:space="preserve">AVVISO PUBBLICO PER LA SELEZIONE DEI CORSISTI NUOVA ECDL </w:t>
      </w:r>
    </w:p>
    <w:p w:rsidR="005C3BFC" w:rsidRDefault="005C3BFC">
      <w:pPr>
        <w:pStyle w:val="Corpodeltesto"/>
        <w:ind w:firstLine="708"/>
        <w:jc w:val="both"/>
        <w:rPr>
          <w:rFonts w:ascii="Arial" w:hAnsi="Arial" w:cs="Arial"/>
          <w:color w:val="333333"/>
          <w:sz w:val="20"/>
          <w:szCs w:val="20"/>
        </w:rPr>
      </w:pPr>
      <w:r>
        <w:rPr>
          <w:rFonts w:ascii="Arial" w:hAnsi="Arial" w:cs="Arial"/>
          <w:color w:val="333333"/>
          <w:sz w:val="20"/>
          <w:szCs w:val="20"/>
        </w:rPr>
        <w:t>L’IIS – Polo Scolastico di Amantea (CS), nell’ambito delle attività previste dal PTOF Piano dell’Offerta Formativa, intende attivare corsi di formazione di n. 63 ore (comprensive di esami) per il conseguimento della patente europea NUOVA ECDL.</w:t>
      </w:r>
    </w:p>
    <w:p w:rsidR="005C3BFC" w:rsidRDefault="005C3BFC">
      <w:pPr>
        <w:pStyle w:val="Corpodeltesto"/>
        <w:jc w:val="both"/>
        <w:rPr>
          <w:rFonts w:ascii="Arial" w:hAnsi="Arial" w:cs="Arial"/>
          <w:color w:val="FF0000"/>
          <w:sz w:val="20"/>
          <w:szCs w:val="20"/>
        </w:rPr>
      </w:pPr>
      <w:r>
        <w:rPr>
          <w:rFonts w:ascii="Arial" w:hAnsi="Arial" w:cs="Arial"/>
          <w:color w:val="FF0000"/>
          <w:sz w:val="20"/>
          <w:szCs w:val="20"/>
        </w:rPr>
        <w:tab/>
      </w:r>
    </w:p>
    <w:p w:rsidR="005C3BFC" w:rsidRPr="0076242C" w:rsidRDefault="005C3BFC">
      <w:pPr>
        <w:pStyle w:val="Corpodeltesto"/>
        <w:ind w:firstLine="709"/>
        <w:jc w:val="both"/>
        <w:rPr>
          <w:rFonts w:ascii="Arial" w:hAnsi="Arial" w:cs="Arial"/>
          <w:i/>
          <w:sz w:val="20"/>
          <w:szCs w:val="20"/>
        </w:rPr>
      </w:pPr>
      <w:r w:rsidRPr="0076242C">
        <w:rPr>
          <w:rFonts w:ascii="Arial" w:hAnsi="Arial" w:cs="Arial"/>
          <w:i/>
          <w:sz w:val="20"/>
          <w:szCs w:val="20"/>
        </w:rPr>
        <w:t>Si ricorda che tale certificazione ha ottenuto in Italia molti riconoscimenti istituzionali, tra i quali ricordiamo i seguenti:</w:t>
      </w:r>
    </w:p>
    <w:p w:rsidR="005C3BFC" w:rsidRPr="0076242C" w:rsidRDefault="005C3BFC">
      <w:pPr>
        <w:pStyle w:val="Corpodeltesto"/>
        <w:numPr>
          <w:ilvl w:val="0"/>
          <w:numId w:val="12"/>
        </w:numPr>
        <w:ind w:left="284" w:hanging="283"/>
        <w:jc w:val="both"/>
        <w:rPr>
          <w:rFonts w:ascii="Arial" w:hAnsi="Arial" w:cs="Arial"/>
          <w:i/>
          <w:sz w:val="20"/>
          <w:szCs w:val="20"/>
        </w:rPr>
      </w:pPr>
      <w:r w:rsidRPr="0076242C">
        <w:rPr>
          <w:rFonts w:ascii="Arial" w:hAnsi="Arial" w:cs="Arial"/>
          <w:i/>
          <w:sz w:val="20"/>
          <w:szCs w:val="20"/>
        </w:rPr>
        <w:t>Ai fini del punteggio nei Concorsi Pubblici per titoli (o per titoli ed esami), il Dipartimento della Funzione Pubblica della Presidenza del Consiglio dei Ministri ha dato parere positivo circa la possibilità di includere il Certificato ECDL fra i titoli culturali di merito, cioè tra quelli che vengono valutati ai fini del punteggio.</w:t>
      </w:r>
    </w:p>
    <w:p w:rsidR="005C3BFC" w:rsidRPr="0076242C" w:rsidRDefault="005C3BFC">
      <w:pPr>
        <w:pStyle w:val="Corpodeltesto"/>
        <w:numPr>
          <w:ilvl w:val="0"/>
          <w:numId w:val="12"/>
        </w:numPr>
        <w:ind w:left="284" w:hanging="283"/>
        <w:jc w:val="both"/>
        <w:rPr>
          <w:rFonts w:ascii="Arial" w:hAnsi="Arial" w:cs="Arial"/>
          <w:i/>
          <w:sz w:val="20"/>
          <w:szCs w:val="20"/>
        </w:rPr>
      </w:pPr>
      <w:r w:rsidRPr="0076242C">
        <w:rPr>
          <w:rFonts w:ascii="Arial" w:hAnsi="Arial" w:cs="Arial"/>
          <w:i/>
          <w:sz w:val="20"/>
          <w:szCs w:val="20"/>
        </w:rPr>
        <w:t>L' ECDL può essere fatta valere ai fini di avanzamento nella carriera nella pubblica amministrazione, ma anche in tal caso la decisione è lasciata alle singole Amministrazioni.</w:t>
      </w:r>
    </w:p>
    <w:p w:rsidR="005C3BFC" w:rsidRPr="0076242C" w:rsidRDefault="005C3BFC">
      <w:pPr>
        <w:pStyle w:val="Corpodeltesto"/>
        <w:numPr>
          <w:ilvl w:val="0"/>
          <w:numId w:val="12"/>
        </w:numPr>
        <w:ind w:left="284" w:hanging="283"/>
        <w:jc w:val="both"/>
        <w:rPr>
          <w:rFonts w:ascii="Arial" w:hAnsi="Arial" w:cs="Arial"/>
          <w:i/>
          <w:sz w:val="20"/>
          <w:szCs w:val="20"/>
        </w:rPr>
      </w:pPr>
      <w:r w:rsidRPr="0076242C">
        <w:rPr>
          <w:rFonts w:ascii="Arial" w:hAnsi="Arial" w:cs="Arial"/>
          <w:i/>
          <w:sz w:val="20"/>
          <w:szCs w:val="20"/>
        </w:rPr>
        <w:t>Il 26 febbraio 2001 è stato siglato un protocollo d’intesa fra M.P.I e Ministero del Lavoro  e Previdenza Sociale che dichiara la volontà di promuovere il riconoscimento delle competenze informatiche certificate secondo lo standard ECDL e di diffondere tale intesa presso tutti i Centri dell’Impiego.</w:t>
      </w:r>
    </w:p>
    <w:p w:rsidR="005C3BFC" w:rsidRPr="0076242C" w:rsidRDefault="005C3BFC">
      <w:pPr>
        <w:pStyle w:val="Corpodeltesto"/>
        <w:numPr>
          <w:ilvl w:val="0"/>
          <w:numId w:val="12"/>
        </w:numPr>
        <w:ind w:left="284" w:hanging="283"/>
        <w:jc w:val="both"/>
        <w:rPr>
          <w:rFonts w:ascii="Arial" w:hAnsi="Arial" w:cs="Arial"/>
          <w:i/>
          <w:sz w:val="20"/>
          <w:szCs w:val="20"/>
        </w:rPr>
      </w:pPr>
      <w:r w:rsidRPr="0076242C">
        <w:rPr>
          <w:rFonts w:ascii="Arial" w:hAnsi="Arial" w:cs="Arial"/>
          <w:i/>
          <w:sz w:val="20"/>
          <w:szCs w:val="20"/>
        </w:rPr>
        <w:t>L' IIS di Amantea riconoscerà tale attività ai fini del calcolo del Credito Scolastico nello scrutinio finale.</w:t>
      </w:r>
    </w:p>
    <w:p w:rsidR="005C3BFC" w:rsidRDefault="005C3BFC">
      <w:pPr>
        <w:pStyle w:val="Corpodeltesto"/>
        <w:ind w:firstLine="709"/>
        <w:jc w:val="both"/>
        <w:rPr>
          <w:rFonts w:ascii="Arial" w:hAnsi="Arial" w:cs="Arial"/>
          <w:color w:val="FF0000"/>
          <w:sz w:val="20"/>
          <w:szCs w:val="20"/>
        </w:rPr>
      </w:pPr>
    </w:p>
    <w:p w:rsidR="005C3BFC" w:rsidRDefault="005C3BFC">
      <w:pPr>
        <w:pStyle w:val="Corpodeltesto"/>
        <w:ind w:firstLine="708"/>
        <w:jc w:val="both"/>
        <w:rPr>
          <w:rFonts w:ascii="Arial" w:hAnsi="Arial" w:cs="Arial"/>
          <w:color w:val="333333"/>
          <w:sz w:val="20"/>
          <w:szCs w:val="20"/>
        </w:rPr>
      </w:pPr>
      <w:r>
        <w:rPr>
          <w:rFonts w:ascii="Arial" w:hAnsi="Arial" w:cs="Arial"/>
          <w:color w:val="333333"/>
          <w:sz w:val="20"/>
          <w:szCs w:val="20"/>
        </w:rPr>
        <w:t>Il contributo per l’accesso al corso sarà pari a:</w:t>
      </w:r>
    </w:p>
    <w:p w:rsidR="005C3BFC" w:rsidRDefault="005C3BFC">
      <w:pPr>
        <w:pStyle w:val="Corpodeltesto"/>
        <w:numPr>
          <w:ilvl w:val="0"/>
          <w:numId w:val="14"/>
        </w:numPr>
        <w:jc w:val="both"/>
        <w:rPr>
          <w:rFonts w:ascii="Arial" w:hAnsi="Arial" w:cs="Arial"/>
          <w:color w:val="333333"/>
          <w:sz w:val="20"/>
          <w:szCs w:val="20"/>
        </w:rPr>
      </w:pPr>
      <w:r>
        <w:rPr>
          <w:rFonts w:ascii="Arial" w:hAnsi="Arial" w:cs="Arial"/>
          <w:color w:val="333333"/>
          <w:sz w:val="20"/>
          <w:szCs w:val="20"/>
        </w:rPr>
        <w:t xml:space="preserve">euro </w:t>
      </w:r>
      <w:r w:rsidRPr="0076242C">
        <w:rPr>
          <w:rFonts w:ascii="Arial" w:hAnsi="Arial" w:cs="Arial"/>
          <w:b/>
          <w:color w:val="333333"/>
          <w:sz w:val="20"/>
          <w:szCs w:val="20"/>
        </w:rPr>
        <w:t>300,00 (trecento/00)</w:t>
      </w:r>
      <w:r>
        <w:rPr>
          <w:rFonts w:ascii="Arial" w:hAnsi="Arial" w:cs="Arial"/>
          <w:color w:val="333333"/>
          <w:sz w:val="20"/>
          <w:szCs w:val="20"/>
        </w:rPr>
        <w:t xml:space="preserve"> per gli alunni del Polo, tale costo sarà comprensivo della registrazione della skill card, n. 7 esami, dispense on line e corso di formazione (composto da sette moduli) pari ad ore 63 comprensive dell’erogazione dei sette esami in orario extracurriculare alla fine di ogni modulo;</w:t>
      </w:r>
    </w:p>
    <w:p w:rsidR="005C3BFC" w:rsidRPr="0076242C" w:rsidRDefault="005C3BFC" w:rsidP="0076242C">
      <w:pPr>
        <w:pStyle w:val="Corpodeltesto"/>
        <w:numPr>
          <w:ilvl w:val="0"/>
          <w:numId w:val="14"/>
        </w:numPr>
        <w:jc w:val="both"/>
        <w:rPr>
          <w:rFonts w:ascii="Arial" w:hAnsi="Arial" w:cs="Arial"/>
          <w:b/>
          <w:bCs/>
          <w:i/>
          <w:iCs/>
          <w:color w:val="333333"/>
          <w:sz w:val="20"/>
          <w:szCs w:val="20"/>
        </w:rPr>
      </w:pPr>
      <w:r w:rsidRPr="0076242C">
        <w:rPr>
          <w:rFonts w:ascii="Arial" w:hAnsi="Arial" w:cs="Arial"/>
          <w:color w:val="333333"/>
          <w:sz w:val="20"/>
          <w:szCs w:val="20"/>
        </w:rPr>
        <w:t xml:space="preserve">euro </w:t>
      </w:r>
      <w:r w:rsidRPr="0076242C">
        <w:rPr>
          <w:rFonts w:ascii="Arial" w:hAnsi="Arial" w:cs="Arial"/>
          <w:b/>
          <w:color w:val="333333"/>
          <w:sz w:val="20"/>
          <w:szCs w:val="20"/>
        </w:rPr>
        <w:t>400,00</w:t>
      </w:r>
      <w:r w:rsidRPr="0076242C">
        <w:rPr>
          <w:rFonts w:ascii="Arial" w:hAnsi="Arial" w:cs="Arial"/>
          <w:color w:val="333333"/>
          <w:sz w:val="20"/>
          <w:szCs w:val="20"/>
        </w:rPr>
        <w:t xml:space="preserve"> (quattrocento/00) per gli </w:t>
      </w:r>
      <w:r w:rsidRPr="00116C34">
        <w:rPr>
          <w:rFonts w:ascii="Arial" w:hAnsi="Arial" w:cs="Arial"/>
          <w:b/>
          <w:color w:val="333333"/>
          <w:sz w:val="20"/>
          <w:szCs w:val="20"/>
        </w:rPr>
        <w:t>esterni</w:t>
      </w:r>
      <w:r w:rsidRPr="0076242C">
        <w:rPr>
          <w:rFonts w:ascii="Arial" w:hAnsi="Arial" w:cs="Arial"/>
          <w:color w:val="333333"/>
          <w:sz w:val="20"/>
          <w:szCs w:val="20"/>
        </w:rPr>
        <w:t xml:space="preserve">, </w:t>
      </w:r>
      <w:r>
        <w:rPr>
          <w:rFonts w:ascii="Arial" w:hAnsi="Arial" w:cs="Arial"/>
          <w:color w:val="333333"/>
          <w:sz w:val="20"/>
          <w:szCs w:val="20"/>
        </w:rPr>
        <w:t>tale costo sarà comprensivo della registrazione della skill card, n. 7 esami, dispense on line e corso di formazione (composto da sette moduli) pari ad ore 63 comprensive dell’erogazione dei sette esami in orario extracurriculare alla fine di ogni modulo;</w:t>
      </w:r>
    </w:p>
    <w:p w:rsidR="005C3BFC" w:rsidRPr="0076242C" w:rsidRDefault="005C3BFC" w:rsidP="0076242C">
      <w:pPr>
        <w:pStyle w:val="Corpodeltesto"/>
        <w:ind w:left="360"/>
        <w:rPr>
          <w:rFonts w:ascii="Arial" w:hAnsi="Arial" w:cs="Arial"/>
          <w:b/>
          <w:bCs/>
          <w:i/>
          <w:iCs/>
          <w:color w:val="333333"/>
          <w:sz w:val="20"/>
          <w:szCs w:val="20"/>
        </w:rPr>
      </w:pPr>
      <w:r w:rsidRPr="0076242C">
        <w:rPr>
          <w:rFonts w:ascii="Arial" w:hAnsi="Arial" w:cs="Arial"/>
          <w:b/>
          <w:bCs/>
          <w:i/>
          <w:iCs/>
          <w:color w:val="333333"/>
          <w:sz w:val="20"/>
          <w:szCs w:val="20"/>
        </w:rPr>
        <w:t>Per ogni esame fallito il corsista dovrà versare una quota pari ad euro 12,00.</w:t>
      </w:r>
    </w:p>
    <w:p w:rsidR="005C3BFC" w:rsidRDefault="005C3BFC">
      <w:pPr>
        <w:pStyle w:val="Corpodeltesto"/>
        <w:jc w:val="both"/>
        <w:rPr>
          <w:rFonts w:ascii="Arial" w:hAnsi="Arial" w:cs="Arial"/>
          <w:color w:val="333333"/>
          <w:sz w:val="20"/>
          <w:szCs w:val="20"/>
        </w:rPr>
      </w:pPr>
      <w:r>
        <w:rPr>
          <w:rFonts w:ascii="Arial" w:hAnsi="Arial" w:cs="Arial"/>
          <w:color w:val="333333"/>
          <w:sz w:val="20"/>
          <w:szCs w:val="20"/>
        </w:rPr>
        <w:t xml:space="preserve"> </w:t>
      </w:r>
    </w:p>
    <w:p w:rsidR="005C3BFC" w:rsidRDefault="005C3BFC" w:rsidP="00B829C8">
      <w:pPr>
        <w:ind w:firstLine="708"/>
        <w:jc w:val="both"/>
        <w:rPr>
          <w:rFonts w:ascii="Arial" w:hAnsi="Arial" w:cs="Arial"/>
          <w:color w:val="333333"/>
        </w:rPr>
      </w:pPr>
      <w:r>
        <w:rPr>
          <w:rFonts w:ascii="Arial" w:hAnsi="Arial" w:cs="Arial"/>
          <w:color w:val="333333"/>
        </w:rPr>
        <w:t>Il corso di formazione sarà attivato solo se le adesioni saranno almeno di 20 partecipanti, nel caso le adesioni fossero un numero superiore a 20, i corsisti  saranno selezionati in ordine di protocollo della domanda  di partecipazione.</w:t>
      </w:r>
    </w:p>
    <w:p w:rsidR="005C3BFC" w:rsidRDefault="005C3BFC">
      <w:pPr>
        <w:pStyle w:val="Corpodeltesto"/>
        <w:ind w:firstLine="708"/>
        <w:jc w:val="both"/>
        <w:rPr>
          <w:rFonts w:ascii="Arial" w:hAnsi="Arial" w:cs="Arial"/>
          <w:color w:val="333333"/>
          <w:sz w:val="20"/>
          <w:szCs w:val="20"/>
        </w:rPr>
      </w:pPr>
    </w:p>
    <w:p w:rsidR="005C3BFC" w:rsidRDefault="005C3BFC">
      <w:pPr>
        <w:pStyle w:val="Corpodeltesto"/>
        <w:rPr>
          <w:rFonts w:ascii="Arial" w:hAnsi="Arial" w:cs="Arial"/>
          <w:color w:val="333333"/>
          <w:sz w:val="20"/>
          <w:szCs w:val="20"/>
        </w:rPr>
      </w:pPr>
      <w:r>
        <w:rPr>
          <w:rFonts w:ascii="Arial" w:hAnsi="Arial" w:cs="Arial"/>
          <w:color w:val="333333"/>
          <w:sz w:val="20"/>
          <w:szCs w:val="20"/>
        </w:rPr>
        <w:t>Eventuale corso inizierà nei primi giorni di Novembre 2015 e terminerà non oltre Febbraio 2016.</w:t>
      </w:r>
    </w:p>
    <w:p w:rsidR="005C3BFC" w:rsidRDefault="005C3BFC">
      <w:pPr>
        <w:pStyle w:val="Corpodeltesto"/>
        <w:jc w:val="both"/>
        <w:rPr>
          <w:rFonts w:ascii="Arial" w:hAnsi="Arial" w:cs="Arial"/>
          <w:color w:val="333333"/>
          <w:sz w:val="20"/>
          <w:szCs w:val="20"/>
        </w:rPr>
      </w:pPr>
    </w:p>
    <w:p w:rsidR="005C3BFC" w:rsidRDefault="005C3BFC">
      <w:pPr>
        <w:pStyle w:val="Corpodeltesto"/>
        <w:ind w:firstLine="708"/>
        <w:jc w:val="both"/>
        <w:rPr>
          <w:rFonts w:ascii="Arial" w:hAnsi="Arial" w:cs="Arial"/>
          <w:color w:val="333333"/>
          <w:sz w:val="20"/>
          <w:szCs w:val="20"/>
        </w:rPr>
      </w:pPr>
      <w:r>
        <w:rPr>
          <w:rFonts w:ascii="Arial" w:hAnsi="Arial" w:cs="Arial"/>
          <w:color w:val="333333"/>
          <w:sz w:val="20"/>
          <w:szCs w:val="20"/>
        </w:rPr>
        <w:t>Il corso si terrà, una volta a settimana (eccezionalmente due volte a settimana) presso il Polo Via Sant’Antonio / Sede centrale ITC Via Nazionale – SS 18 dalle ore 14,30 alle 17,30 (18,30 solo quando è previsto l’esame di fine modulo)</w:t>
      </w:r>
    </w:p>
    <w:p w:rsidR="005C3BFC" w:rsidRDefault="005C3BFC">
      <w:pPr>
        <w:pStyle w:val="Corpodeltesto"/>
        <w:jc w:val="both"/>
        <w:rPr>
          <w:rFonts w:ascii="Arial" w:hAnsi="Arial" w:cs="Arial"/>
          <w:color w:val="333333"/>
          <w:sz w:val="20"/>
          <w:szCs w:val="20"/>
        </w:rPr>
      </w:pPr>
    </w:p>
    <w:p w:rsidR="005C3BFC" w:rsidRDefault="005C3BFC">
      <w:pPr>
        <w:ind w:firstLine="708"/>
        <w:jc w:val="both"/>
        <w:rPr>
          <w:rFonts w:ascii="Arial" w:hAnsi="Arial" w:cs="Arial"/>
          <w:color w:val="333333"/>
        </w:rPr>
      </w:pPr>
    </w:p>
    <w:p w:rsidR="005C3BFC" w:rsidRDefault="005C3BFC">
      <w:pPr>
        <w:ind w:firstLine="708"/>
        <w:jc w:val="both"/>
        <w:rPr>
          <w:rFonts w:ascii="Arial" w:hAnsi="Arial" w:cs="Arial"/>
          <w:color w:val="333333"/>
        </w:rPr>
      </w:pPr>
      <w:r>
        <w:rPr>
          <w:rFonts w:ascii="Arial" w:hAnsi="Arial" w:cs="Arial"/>
          <w:color w:val="333333"/>
        </w:rPr>
        <w:t xml:space="preserve">Le domande di ammissione si dovranno presentare al protocollo generale dell’I.I.S. di Amantea, entro e non oltre le </w:t>
      </w:r>
      <w:r>
        <w:rPr>
          <w:rFonts w:ascii="Arial" w:hAnsi="Arial" w:cs="Arial"/>
          <w:b/>
          <w:bCs/>
          <w:color w:val="333333"/>
        </w:rPr>
        <w:t xml:space="preserve">ore 12,00 del 24 Ottobre  2015, </w:t>
      </w:r>
      <w:r>
        <w:rPr>
          <w:rFonts w:ascii="Arial" w:hAnsi="Arial" w:cs="Arial"/>
          <w:color w:val="333333"/>
        </w:rPr>
        <w:t xml:space="preserve">su apposito modulo da ritirare presso l’URP dell’IIS  via Sant’Antonio – 87032 Amantea (CS) o direttamente dal sito </w:t>
      </w:r>
      <w:hyperlink r:id="rId15" w:history="1">
        <w:r>
          <w:rPr>
            <w:rStyle w:val="Collegamentoipertestuale"/>
            <w:rFonts w:ascii="Arial" w:hAnsi="Arial" w:cs="Arial"/>
            <w:shd w:val="clear" w:color="auto" w:fill="FFFFFF"/>
          </w:rPr>
          <w:t>www.iispolo</w:t>
        </w:r>
        <w:r>
          <w:rPr>
            <w:rStyle w:val="Collegamentoipertestuale"/>
            <w:rFonts w:ascii="Arial" w:hAnsi="Arial" w:cs="Arial"/>
            <w:b/>
            <w:bCs/>
            <w:shd w:val="clear" w:color="auto" w:fill="FFFFFF"/>
          </w:rPr>
          <w:t>amantea</w:t>
        </w:r>
        <w:r>
          <w:rPr>
            <w:rStyle w:val="Collegamentoipertestuale"/>
            <w:rFonts w:ascii="Arial" w:hAnsi="Arial" w:cs="Arial"/>
            <w:shd w:val="clear" w:color="auto" w:fill="FFFFFF"/>
          </w:rPr>
          <w:t>.gov.it</w:t>
        </w:r>
      </w:hyperlink>
      <w:r>
        <w:rPr>
          <w:rFonts w:ascii="Arial" w:hAnsi="Arial" w:cs="Arial"/>
          <w:color w:val="006621"/>
          <w:shd w:val="clear" w:color="auto" w:fill="FFFFFF"/>
        </w:rPr>
        <w:t xml:space="preserve"> </w:t>
      </w:r>
    </w:p>
    <w:p w:rsidR="005C3BFC" w:rsidRDefault="005C3BFC">
      <w:pPr>
        <w:jc w:val="both"/>
        <w:rPr>
          <w:rFonts w:ascii="Arial" w:hAnsi="Arial" w:cs="Arial"/>
          <w:color w:val="333333"/>
        </w:rPr>
      </w:pPr>
      <w:r>
        <w:rPr>
          <w:rFonts w:ascii="Arial" w:hAnsi="Arial" w:cs="Arial"/>
          <w:color w:val="333333"/>
        </w:rPr>
        <w:tab/>
      </w:r>
    </w:p>
    <w:p w:rsidR="005C3BFC" w:rsidRDefault="005C3BFC">
      <w:pPr>
        <w:jc w:val="both"/>
        <w:rPr>
          <w:rFonts w:ascii="Arial" w:hAnsi="Arial" w:cs="Arial"/>
          <w:color w:val="333333"/>
        </w:rPr>
      </w:pPr>
      <w:r>
        <w:rPr>
          <w:rFonts w:ascii="Arial" w:hAnsi="Arial" w:cs="Arial"/>
          <w:color w:val="333333"/>
        </w:rPr>
        <w:tab/>
        <w:t>Le date dell’inizio dei corsi e relativi calendario delle lezioni e docenti esperti saranno comunicati in seguito e pubblicati sul portale dell’Istituto.</w:t>
      </w:r>
    </w:p>
    <w:p w:rsidR="005C3BFC" w:rsidRDefault="005C3BFC">
      <w:pPr>
        <w:jc w:val="both"/>
        <w:rPr>
          <w:rFonts w:ascii="Arial" w:hAnsi="Arial" w:cs="Arial"/>
          <w:color w:val="333333"/>
        </w:rPr>
      </w:pPr>
    </w:p>
    <w:p w:rsidR="005C3BFC" w:rsidRDefault="005C3BFC">
      <w:pPr>
        <w:jc w:val="both"/>
        <w:rPr>
          <w:rFonts w:ascii="Arial" w:hAnsi="Arial" w:cs="Arial"/>
          <w:color w:val="333333"/>
        </w:rPr>
      </w:pPr>
      <w:r>
        <w:rPr>
          <w:rFonts w:ascii="Arial" w:hAnsi="Arial" w:cs="Arial"/>
          <w:color w:val="333333"/>
        </w:rPr>
        <w:t>Amantea 15/10/2015</w:t>
      </w:r>
    </w:p>
    <w:p w:rsidR="005C3BFC" w:rsidRDefault="005C3BFC">
      <w:pPr>
        <w:pStyle w:val="Titolo1"/>
        <w:ind w:left="5670"/>
        <w:jc w:val="center"/>
        <w:rPr>
          <w:rFonts w:ascii="Arial" w:eastAsia="Arial Unicode MS" w:hAnsi="Arial"/>
          <w:color w:val="333333"/>
          <w:sz w:val="20"/>
          <w:szCs w:val="20"/>
        </w:rPr>
      </w:pPr>
      <w:r>
        <w:rPr>
          <w:rFonts w:ascii="Arial" w:hAnsi="Arial" w:cs="Arial"/>
          <w:color w:val="333333"/>
          <w:sz w:val="20"/>
          <w:szCs w:val="20"/>
        </w:rPr>
        <w:t>Il Dirigente Scolastico</w:t>
      </w:r>
    </w:p>
    <w:p w:rsidR="005C3BFC" w:rsidRDefault="005C3BFC">
      <w:pPr>
        <w:ind w:left="5670"/>
        <w:jc w:val="center"/>
        <w:rPr>
          <w:rFonts w:ascii="Arial" w:hAnsi="Arial" w:cs="Arial"/>
          <w:color w:val="333333"/>
        </w:rPr>
      </w:pPr>
      <w:r>
        <w:rPr>
          <w:rFonts w:ascii="Arial" w:hAnsi="Arial" w:cs="Arial"/>
          <w:color w:val="333333"/>
        </w:rPr>
        <w:t xml:space="preserve">Prof. Arch. Francesco Calabria </w:t>
      </w:r>
    </w:p>
    <w:p w:rsidR="005C3BFC" w:rsidRDefault="005C3BFC" w:rsidP="00E02776">
      <w:pPr>
        <w:ind w:firstLine="2340"/>
        <w:jc w:val="center"/>
        <w:rPr>
          <w:rFonts w:ascii="Verdana" w:hAnsi="Verdana"/>
        </w:rPr>
      </w:pPr>
      <w:r>
        <w:rPr>
          <w:rFonts w:ascii="Bookman Old Style" w:hAnsi="Bookman Old Style"/>
          <w:sz w:val="16"/>
          <w:szCs w:val="16"/>
        </w:rPr>
        <w:t>(Firma autografa sostituita a mezzo stampa ai sensi dell’ex art. 3 comma 2 D.lgs n° 39/93)</w:t>
      </w:r>
    </w:p>
    <w:p w:rsidR="005C3BFC" w:rsidRDefault="005C3BFC" w:rsidP="00E02776">
      <w:pPr>
        <w:pStyle w:val="Corpodeltesto"/>
        <w:ind w:firstLine="709"/>
        <w:jc w:val="both"/>
        <w:rPr>
          <w:rFonts w:ascii="Arial" w:hAnsi="Arial" w:cs="Arial"/>
          <w:color w:val="FF0000"/>
          <w:sz w:val="20"/>
          <w:szCs w:val="20"/>
        </w:rPr>
      </w:pPr>
    </w:p>
    <w:sectPr w:rsidR="005C3BFC" w:rsidSect="001B6E60">
      <w:footerReference w:type="default" r:id="rId16"/>
      <w:pgSz w:w="11906" w:h="16838"/>
      <w:pgMar w:top="709"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4A0" w:rsidRDefault="002134A0">
      <w:r>
        <w:separator/>
      </w:r>
    </w:p>
  </w:endnote>
  <w:endnote w:type="continuationSeparator" w:id="1">
    <w:p w:rsidR="002134A0" w:rsidRDefault="00213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Bernhard Modern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FC" w:rsidRDefault="00D12D9E">
    <w:pPr>
      <w:pStyle w:val="Pidipagina"/>
      <w:framePr w:wrap="auto" w:vAnchor="text" w:hAnchor="margin" w:xAlign="right" w:y="1"/>
      <w:rPr>
        <w:rStyle w:val="Numeropagina"/>
      </w:rPr>
    </w:pPr>
    <w:r>
      <w:rPr>
        <w:rStyle w:val="Numeropagina"/>
      </w:rPr>
      <w:fldChar w:fldCharType="begin"/>
    </w:r>
    <w:r w:rsidR="005C3BFC">
      <w:rPr>
        <w:rStyle w:val="Numeropagina"/>
      </w:rPr>
      <w:instrText xml:space="preserve">PAGE  </w:instrText>
    </w:r>
    <w:r>
      <w:rPr>
        <w:rStyle w:val="Numeropagina"/>
      </w:rPr>
      <w:fldChar w:fldCharType="separate"/>
    </w:r>
    <w:r w:rsidR="00CC1BA0">
      <w:rPr>
        <w:rStyle w:val="Numeropagina"/>
        <w:noProof/>
      </w:rPr>
      <w:t>1</w:t>
    </w:r>
    <w:r>
      <w:rPr>
        <w:rStyle w:val="Numeropagina"/>
      </w:rPr>
      <w:fldChar w:fldCharType="end"/>
    </w:r>
  </w:p>
  <w:p w:rsidR="005C3BFC" w:rsidRDefault="005C3BF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4A0" w:rsidRDefault="002134A0">
      <w:r>
        <w:separator/>
      </w:r>
    </w:p>
  </w:footnote>
  <w:footnote w:type="continuationSeparator" w:id="1">
    <w:p w:rsidR="002134A0" w:rsidRDefault="00213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224"/>
    <w:multiLevelType w:val="hybridMultilevel"/>
    <w:tmpl w:val="A96AB108"/>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0914C26"/>
    <w:multiLevelType w:val="hybridMultilevel"/>
    <w:tmpl w:val="35CAEA3E"/>
    <w:lvl w:ilvl="0" w:tplc="7C7C3560">
      <w:start w:val="1"/>
      <w:numFmt w:val="none"/>
      <w:lvlText w:val=""/>
      <w:lvlJc w:val="left"/>
      <w:pPr>
        <w:tabs>
          <w:tab w:val="num" w:pos="0"/>
        </w:tabs>
        <w:ind w:left="360" w:hanging="360"/>
      </w:pPr>
      <w:rPr>
        <w:rFonts w:ascii="Symbol" w:hAnsi="Symbol" w:cs="Symbol" w:hint="default"/>
        <w:b w:val="0"/>
        <w:bCs w:val="0"/>
        <w:i w:val="0"/>
        <w:iCs w:val="0"/>
        <w:color w:val="auto"/>
        <w:sz w:val="20"/>
        <w:szCs w:val="2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66A0763"/>
    <w:multiLevelType w:val="hybridMultilevel"/>
    <w:tmpl w:val="3EB8688E"/>
    <w:lvl w:ilvl="0" w:tplc="7C7C3560">
      <w:start w:val="1"/>
      <w:numFmt w:val="none"/>
      <w:lvlText w:val=""/>
      <w:lvlJc w:val="left"/>
      <w:pPr>
        <w:tabs>
          <w:tab w:val="num" w:pos="360"/>
        </w:tabs>
        <w:ind w:left="720" w:hanging="360"/>
      </w:pPr>
      <w:rPr>
        <w:rFonts w:ascii="Symbol" w:hAnsi="Symbol" w:cs="Symbol" w:hint="default"/>
        <w:b w:val="0"/>
        <w:bCs w:val="0"/>
        <w:i w:val="0"/>
        <w:iCs w:val="0"/>
        <w:color w:val="auto"/>
        <w:sz w:val="20"/>
        <w:szCs w:val="20"/>
      </w:rPr>
    </w:lvl>
    <w:lvl w:ilvl="1" w:tplc="04100019">
      <w:start w:val="1"/>
      <w:numFmt w:val="lowerLetter"/>
      <w:lvlText w:val="%2."/>
      <w:lvlJc w:val="left"/>
      <w:pPr>
        <w:tabs>
          <w:tab w:val="num" w:pos="1800"/>
        </w:tabs>
        <w:ind w:left="1800" w:hanging="360"/>
      </w:pPr>
      <w:rPr>
        <w:rFonts w:ascii="Times New Roman" w:hAnsi="Times New Roman" w:cs="Times New Roman"/>
      </w:rPr>
    </w:lvl>
    <w:lvl w:ilvl="2" w:tplc="0410001B">
      <w:start w:val="1"/>
      <w:numFmt w:val="lowerRoman"/>
      <w:lvlText w:val="%3."/>
      <w:lvlJc w:val="right"/>
      <w:pPr>
        <w:tabs>
          <w:tab w:val="num" w:pos="2520"/>
        </w:tabs>
        <w:ind w:left="2520" w:hanging="180"/>
      </w:pPr>
      <w:rPr>
        <w:rFonts w:ascii="Times New Roman" w:hAnsi="Times New Roman" w:cs="Times New Roman"/>
      </w:rPr>
    </w:lvl>
    <w:lvl w:ilvl="3" w:tplc="0410000F">
      <w:start w:val="1"/>
      <w:numFmt w:val="decimal"/>
      <w:lvlText w:val="%4."/>
      <w:lvlJc w:val="left"/>
      <w:pPr>
        <w:tabs>
          <w:tab w:val="num" w:pos="3240"/>
        </w:tabs>
        <w:ind w:left="3240" w:hanging="360"/>
      </w:pPr>
      <w:rPr>
        <w:rFonts w:ascii="Times New Roman" w:hAnsi="Times New Roman" w:cs="Times New Roman"/>
      </w:rPr>
    </w:lvl>
    <w:lvl w:ilvl="4" w:tplc="04100019">
      <w:start w:val="1"/>
      <w:numFmt w:val="lowerLetter"/>
      <w:lvlText w:val="%5."/>
      <w:lvlJc w:val="left"/>
      <w:pPr>
        <w:tabs>
          <w:tab w:val="num" w:pos="3960"/>
        </w:tabs>
        <w:ind w:left="3960" w:hanging="360"/>
      </w:pPr>
      <w:rPr>
        <w:rFonts w:ascii="Times New Roman" w:hAnsi="Times New Roman" w:cs="Times New Roman"/>
      </w:rPr>
    </w:lvl>
    <w:lvl w:ilvl="5" w:tplc="0410001B">
      <w:start w:val="1"/>
      <w:numFmt w:val="lowerRoman"/>
      <w:lvlText w:val="%6."/>
      <w:lvlJc w:val="right"/>
      <w:pPr>
        <w:tabs>
          <w:tab w:val="num" w:pos="4680"/>
        </w:tabs>
        <w:ind w:left="4680" w:hanging="180"/>
      </w:pPr>
      <w:rPr>
        <w:rFonts w:ascii="Times New Roman" w:hAnsi="Times New Roman" w:cs="Times New Roman"/>
      </w:rPr>
    </w:lvl>
    <w:lvl w:ilvl="6" w:tplc="0410000F">
      <w:start w:val="1"/>
      <w:numFmt w:val="decimal"/>
      <w:lvlText w:val="%7."/>
      <w:lvlJc w:val="left"/>
      <w:pPr>
        <w:tabs>
          <w:tab w:val="num" w:pos="5400"/>
        </w:tabs>
        <w:ind w:left="5400" w:hanging="360"/>
      </w:pPr>
      <w:rPr>
        <w:rFonts w:ascii="Times New Roman" w:hAnsi="Times New Roman" w:cs="Times New Roman"/>
      </w:rPr>
    </w:lvl>
    <w:lvl w:ilvl="7" w:tplc="04100019">
      <w:start w:val="1"/>
      <w:numFmt w:val="lowerLetter"/>
      <w:lvlText w:val="%8."/>
      <w:lvlJc w:val="left"/>
      <w:pPr>
        <w:tabs>
          <w:tab w:val="num" w:pos="6120"/>
        </w:tabs>
        <w:ind w:left="6120" w:hanging="360"/>
      </w:pPr>
      <w:rPr>
        <w:rFonts w:ascii="Times New Roman" w:hAnsi="Times New Roman" w:cs="Times New Roman"/>
      </w:rPr>
    </w:lvl>
    <w:lvl w:ilvl="8" w:tplc="0410001B">
      <w:start w:val="1"/>
      <w:numFmt w:val="lowerRoman"/>
      <w:lvlText w:val="%9."/>
      <w:lvlJc w:val="right"/>
      <w:pPr>
        <w:tabs>
          <w:tab w:val="num" w:pos="6840"/>
        </w:tabs>
        <w:ind w:left="6840" w:hanging="180"/>
      </w:pPr>
      <w:rPr>
        <w:rFonts w:ascii="Times New Roman" w:hAnsi="Times New Roman" w:cs="Times New Roman"/>
      </w:rPr>
    </w:lvl>
  </w:abstractNum>
  <w:abstractNum w:abstractNumId="3">
    <w:nsid w:val="193D00CC"/>
    <w:multiLevelType w:val="hybridMultilevel"/>
    <w:tmpl w:val="A0DC7F28"/>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C4A1F06"/>
    <w:multiLevelType w:val="hybridMultilevel"/>
    <w:tmpl w:val="E1564FB8"/>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FA85288"/>
    <w:multiLevelType w:val="hybridMultilevel"/>
    <w:tmpl w:val="C4800E6A"/>
    <w:lvl w:ilvl="0" w:tplc="345058A0">
      <w:start w:val="1"/>
      <w:numFmt w:val="bullet"/>
      <w:lvlText w:val=""/>
      <w:lvlJc w:val="left"/>
      <w:pPr>
        <w:tabs>
          <w:tab w:val="num" w:pos="720"/>
        </w:tabs>
        <w:ind w:left="720" w:hanging="360"/>
      </w:pPr>
      <w:rPr>
        <w:rFonts w:ascii="Symbol" w:hAnsi="Symbol" w:hint="default"/>
        <w:color w:val="auto"/>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48791DDC"/>
    <w:multiLevelType w:val="hybridMultilevel"/>
    <w:tmpl w:val="87E4A992"/>
    <w:lvl w:ilvl="0" w:tplc="7C7C3560">
      <w:start w:val="1"/>
      <w:numFmt w:val="none"/>
      <w:lvlText w:val=""/>
      <w:lvlJc w:val="left"/>
      <w:pPr>
        <w:tabs>
          <w:tab w:val="num" w:pos="0"/>
        </w:tabs>
        <w:ind w:left="360" w:hanging="360"/>
      </w:pPr>
      <w:rPr>
        <w:rFonts w:ascii="Symbol" w:hAnsi="Symbol" w:cs="Symbol" w:hint="default"/>
        <w:b w:val="0"/>
        <w:bCs w:val="0"/>
        <w:i w:val="0"/>
        <w:iCs w:val="0"/>
        <w:color w:val="auto"/>
        <w:sz w:val="20"/>
        <w:szCs w:val="2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B500A5C"/>
    <w:multiLevelType w:val="hybridMultilevel"/>
    <w:tmpl w:val="4D2E6712"/>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5E733EBF"/>
    <w:multiLevelType w:val="hybridMultilevel"/>
    <w:tmpl w:val="D244F4A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63186BA5"/>
    <w:multiLevelType w:val="hybridMultilevel"/>
    <w:tmpl w:val="DF10238C"/>
    <w:lvl w:ilvl="0" w:tplc="216202F4">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7278280D"/>
    <w:multiLevelType w:val="hybridMultilevel"/>
    <w:tmpl w:val="568231F8"/>
    <w:lvl w:ilvl="0" w:tplc="7C7C3560">
      <w:start w:val="1"/>
      <w:numFmt w:val="none"/>
      <w:lvlText w:val=""/>
      <w:lvlJc w:val="left"/>
      <w:pPr>
        <w:tabs>
          <w:tab w:val="num" w:pos="0"/>
        </w:tabs>
        <w:ind w:left="360" w:hanging="360"/>
      </w:pPr>
      <w:rPr>
        <w:rFonts w:ascii="Symbol" w:hAnsi="Symbol" w:cs="Symbol" w:hint="default"/>
        <w:b w:val="0"/>
        <w:bCs w:val="0"/>
        <w:i w:val="0"/>
        <w:iCs w:val="0"/>
        <w:color w:val="auto"/>
        <w:sz w:val="20"/>
        <w:szCs w:val="20"/>
      </w:rPr>
    </w:lvl>
    <w:lvl w:ilvl="1" w:tplc="8416E2E0">
      <w:start w:val="1"/>
      <w:numFmt w:val="lowerLetter"/>
      <w:lvlText w:val="%2)"/>
      <w:lvlJc w:val="left"/>
      <w:pPr>
        <w:tabs>
          <w:tab w:val="num" w:pos="1440"/>
        </w:tabs>
        <w:ind w:left="1440" w:hanging="360"/>
      </w:pPr>
      <w:rPr>
        <w:rFonts w:ascii="Times New Roman" w:hAnsi="Times New Roman" w:cs="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79587CA5"/>
    <w:multiLevelType w:val="hybridMultilevel"/>
    <w:tmpl w:val="562E8576"/>
    <w:lvl w:ilvl="0" w:tplc="7C7C3560">
      <w:start w:val="1"/>
      <w:numFmt w:val="none"/>
      <w:lvlText w:val=""/>
      <w:lvlJc w:val="left"/>
      <w:pPr>
        <w:tabs>
          <w:tab w:val="num" w:pos="0"/>
        </w:tabs>
        <w:ind w:left="360" w:hanging="360"/>
      </w:pPr>
      <w:rPr>
        <w:rFonts w:ascii="Symbol" w:hAnsi="Symbol" w:cs="Symbol" w:hint="default"/>
        <w:b w:val="0"/>
        <w:bCs w:val="0"/>
        <w:i w:val="0"/>
        <w:iCs w:val="0"/>
        <w:color w:val="auto"/>
        <w:sz w:val="20"/>
        <w:szCs w:val="2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7D0A3E8A"/>
    <w:multiLevelType w:val="hybridMultilevel"/>
    <w:tmpl w:val="ED742ED8"/>
    <w:lvl w:ilvl="0" w:tplc="0410000F">
      <w:start w:val="1"/>
      <w:numFmt w:val="decimal"/>
      <w:lvlText w:val="%1."/>
      <w:lvlJc w:val="left"/>
      <w:pPr>
        <w:ind w:left="1145" w:hanging="360"/>
      </w:pPr>
      <w:rPr>
        <w:rFonts w:ascii="Times New Roman" w:hAnsi="Times New Roman" w:cs="Times New Roman"/>
      </w:rPr>
    </w:lvl>
    <w:lvl w:ilvl="1" w:tplc="04100019">
      <w:start w:val="1"/>
      <w:numFmt w:val="lowerLetter"/>
      <w:lvlText w:val="%2."/>
      <w:lvlJc w:val="left"/>
      <w:pPr>
        <w:ind w:left="1865" w:hanging="360"/>
      </w:pPr>
      <w:rPr>
        <w:rFonts w:ascii="Times New Roman" w:hAnsi="Times New Roman" w:cs="Times New Roman"/>
      </w:rPr>
    </w:lvl>
    <w:lvl w:ilvl="2" w:tplc="0410001B">
      <w:start w:val="1"/>
      <w:numFmt w:val="lowerRoman"/>
      <w:lvlText w:val="%3."/>
      <w:lvlJc w:val="right"/>
      <w:pPr>
        <w:ind w:left="2585" w:hanging="180"/>
      </w:pPr>
      <w:rPr>
        <w:rFonts w:ascii="Times New Roman" w:hAnsi="Times New Roman" w:cs="Times New Roman"/>
      </w:rPr>
    </w:lvl>
    <w:lvl w:ilvl="3" w:tplc="0410000F">
      <w:start w:val="1"/>
      <w:numFmt w:val="decimal"/>
      <w:lvlText w:val="%4."/>
      <w:lvlJc w:val="left"/>
      <w:pPr>
        <w:ind w:left="3305" w:hanging="360"/>
      </w:pPr>
      <w:rPr>
        <w:rFonts w:ascii="Times New Roman" w:hAnsi="Times New Roman" w:cs="Times New Roman"/>
      </w:rPr>
    </w:lvl>
    <w:lvl w:ilvl="4" w:tplc="04100019">
      <w:start w:val="1"/>
      <w:numFmt w:val="lowerLetter"/>
      <w:lvlText w:val="%5."/>
      <w:lvlJc w:val="left"/>
      <w:pPr>
        <w:ind w:left="4025" w:hanging="360"/>
      </w:pPr>
      <w:rPr>
        <w:rFonts w:ascii="Times New Roman" w:hAnsi="Times New Roman" w:cs="Times New Roman"/>
      </w:rPr>
    </w:lvl>
    <w:lvl w:ilvl="5" w:tplc="0410001B">
      <w:start w:val="1"/>
      <w:numFmt w:val="lowerRoman"/>
      <w:lvlText w:val="%6."/>
      <w:lvlJc w:val="right"/>
      <w:pPr>
        <w:ind w:left="4745" w:hanging="180"/>
      </w:pPr>
      <w:rPr>
        <w:rFonts w:ascii="Times New Roman" w:hAnsi="Times New Roman" w:cs="Times New Roman"/>
      </w:rPr>
    </w:lvl>
    <w:lvl w:ilvl="6" w:tplc="0410000F">
      <w:start w:val="1"/>
      <w:numFmt w:val="decimal"/>
      <w:lvlText w:val="%7."/>
      <w:lvlJc w:val="left"/>
      <w:pPr>
        <w:ind w:left="5465" w:hanging="360"/>
      </w:pPr>
      <w:rPr>
        <w:rFonts w:ascii="Times New Roman" w:hAnsi="Times New Roman" w:cs="Times New Roman"/>
      </w:rPr>
    </w:lvl>
    <w:lvl w:ilvl="7" w:tplc="04100019">
      <w:start w:val="1"/>
      <w:numFmt w:val="lowerLetter"/>
      <w:lvlText w:val="%8."/>
      <w:lvlJc w:val="left"/>
      <w:pPr>
        <w:ind w:left="6185" w:hanging="360"/>
      </w:pPr>
      <w:rPr>
        <w:rFonts w:ascii="Times New Roman" w:hAnsi="Times New Roman" w:cs="Times New Roman"/>
      </w:rPr>
    </w:lvl>
    <w:lvl w:ilvl="8" w:tplc="0410001B">
      <w:start w:val="1"/>
      <w:numFmt w:val="lowerRoman"/>
      <w:lvlText w:val="%9."/>
      <w:lvlJc w:val="right"/>
      <w:pPr>
        <w:ind w:left="6905" w:hanging="180"/>
      </w:pPr>
      <w:rPr>
        <w:rFonts w:ascii="Times New Roman" w:hAnsi="Times New Roman" w:cs="Times New Roman"/>
      </w:rPr>
    </w:lvl>
  </w:abstractNum>
  <w:num w:numId="1">
    <w:abstractNumId w:val="3"/>
  </w:num>
  <w:num w:numId="2">
    <w:abstractNumId w:val="2"/>
  </w:num>
  <w:num w:numId="3">
    <w:abstractNumId w:val="6"/>
  </w:num>
  <w:num w:numId="4">
    <w:abstractNumId w:val="10"/>
  </w:num>
  <w:num w:numId="5">
    <w:abstractNumId w:val="11"/>
  </w:num>
  <w:num w:numId="6">
    <w:abstractNumId w:val="1"/>
  </w:num>
  <w:num w:numId="7">
    <w:abstractNumId w:val="8"/>
  </w:num>
  <w:num w:numId="8">
    <w:abstractNumId w:val="7"/>
  </w:num>
  <w:num w:numId="9">
    <w:abstractNumId w:val="5"/>
  </w:num>
  <w:num w:numId="10">
    <w:abstractNumId w:val="0"/>
  </w:num>
  <w:num w:numId="11">
    <w:abstractNumId w:val="4"/>
  </w:num>
  <w:num w:numId="12">
    <w:abstractNumId w:val="12"/>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C27336"/>
    <w:rsid w:val="00116C34"/>
    <w:rsid w:val="001B6E60"/>
    <w:rsid w:val="002134A0"/>
    <w:rsid w:val="00294522"/>
    <w:rsid w:val="00303C2E"/>
    <w:rsid w:val="005C3BFC"/>
    <w:rsid w:val="00723691"/>
    <w:rsid w:val="0076242C"/>
    <w:rsid w:val="009968FC"/>
    <w:rsid w:val="009E191E"/>
    <w:rsid w:val="00B829C8"/>
    <w:rsid w:val="00C27336"/>
    <w:rsid w:val="00CC1BA0"/>
    <w:rsid w:val="00D12D9E"/>
    <w:rsid w:val="00E02776"/>
    <w:rsid w:val="00FA76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6E60"/>
    <w:rPr>
      <w:rFonts w:ascii="Times New Roman" w:hAnsi="Times New Roman"/>
      <w:sz w:val="20"/>
      <w:szCs w:val="20"/>
    </w:rPr>
  </w:style>
  <w:style w:type="paragraph" w:styleId="Titolo1">
    <w:name w:val="heading 1"/>
    <w:basedOn w:val="Normale"/>
    <w:next w:val="Normale"/>
    <w:link w:val="Titolo1Carattere"/>
    <w:uiPriority w:val="99"/>
    <w:qFormat/>
    <w:rsid w:val="001B6E60"/>
    <w:pPr>
      <w:keepNext/>
      <w:jc w:val="right"/>
      <w:outlineLvl w:val="0"/>
    </w:pPr>
    <w:rPr>
      <w:sz w:val="24"/>
      <w:szCs w:val="24"/>
    </w:rPr>
  </w:style>
  <w:style w:type="paragraph" w:styleId="Titolo2">
    <w:name w:val="heading 2"/>
    <w:basedOn w:val="Normale"/>
    <w:next w:val="Normale"/>
    <w:link w:val="Titolo2Carattere"/>
    <w:uiPriority w:val="99"/>
    <w:qFormat/>
    <w:rsid w:val="001B6E60"/>
    <w:pPr>
      <w:keepNext/>
      <w:jc w:val="center"/>
      <w:outlineLvl w:val="1"/>
    </w:pPr>
    <w:rPr>
      <w:sz w:val="24"/>
      <w:szCs w:val="24"/>
    </w:rPr>
  </w:style>
  <w:style w:type="paragraph" w:styleId="Titolo3">
    <w:name w:val="heading 3"/>
    <w:basedOn w:val="Normale"/>
    <w:next w:val="Normale"/>
    <w:link w:val="Titolo3Carattere"/>
    <w:uiPriority w:val="99"/>
    <w:qFormat/>
    <w:rsid w:val="001B6E60"/>
    <w:pPr>
      <w:keepNext/>
      <w:outlineLvl w:val="2"/>
    </w:pPr>
    <w:rPr>
      <w:sz w:val="24"/>
      <w:szCs w:val="24"/>
    </w:rPr>
  </w:style>
  <w:style w:type="paragraph" w:styleId="Titolo4">
    <w:name w:val="heading 4"/>
    <w:basedOn w:val="Normale"/>
    <w:next w:val="Normale"/>
    <w:link w:val="Titolo4Carattere"/>
    <w:uiPriority w:val="99"/>
    <w:qFormat/>
    <w:rsid w:val="001B6E60"/>
    <w:pPr>
      <w:keepNext/>
      <w:jc w:val="both"/>
      <w:outlineLvl w:val="3"/>
    </w:pPr>
    <w:rPr>
      <w:sz w:val="24"/>
      <w:szCs w:val="24"/>
    </w:rPr>
  </w:style>
  <w:style w:type="paragraph" w:styleId="Titolo9">
    <w:name w:val="heading 9"/>
    <w:basedOn w:val="Normale"/>
    <w:next w:val="Normale"/>
    <w:link w:val="Titolo9Carattere"/>
    <w:uiPriority w:val="99"/>
    <w:qFormat/>
    <w:rsid w:val="001B6E60"/>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B6E60"/>
    <w:rPr>
      <w:rFonts w:ascii="Cambria" w:hAnsi="Cambria" w:cs="Cambria"/>
      <w:b/>
      <w:bCs/>
      <w:kern w:val="32"/>
      <w:sz w:val="32"/>
      <w:szCs w:val="32"/>
    </w:rPr>
  </w:style>
  <w:style w:type="character" w:customStyle="1" w:styleId="Titolo2Carattere">
    <w:name w:val="Titolo 2 Carattere"/>
    <w:basedOn w:val="Carpredefinitoparagrafo"/>
    <w:link w:val="Titolo2"/>
    <w:uiPriority w:val="99"/>
    <w:locked/>
    <w:rsid w:val="001B6E60"/>
    <w:rPr>
      <w:rFonts w:ascii="Cambria" w:hAnsi="Cambria" w:cs="Cambria"/>
      <w:b/>
      <w:bCs/>
      <w:i/>
      <w:iCs/>
      <w:sz w:val="28"/>
      <w:szCs w:val="28"/>
    </w:rPr>
  </w:style>
  <w:style w:type="character" w:customStyle="1" w:styleId="Titolo3Carattere">
    <w:name w:val="Titolo 3 Carattere"/>
    <w:basedOn w:val="Carpredefinitoparagrafo"/>
    <w:link w:val="Titolo3"/>
    <w:uiPriority w:val="99"/>
    <w:locked/>
    <w:rsid w:val="001B6E60"/>
    <w:rPr>
      <w:rFonts w:ascii="Cambria" w:hAnsi="Cambria" w:cs="Cambria"/>
      <w:b/>
      <w:bCs/>
      <w:sz w:val="26"/>
      <w:szCs w:val="26"/>
    </w:rPr>
  </w:style>
  <w:style w:type="character" w:customStyle="1" w:styleId="Titolo4Carattere">
    <w:name w:val="Titolo 4 Carattere"/>
    <w:basedOn w:val="Carpredefinitoparagrafo"/>
    <w:link w:val="Titolo4"/>
    <w:uiPriority w:val="99"/>
    <w:locked/>
    <w:rsid w:val="001B6E60"/>
    <w:rPr>
      <w:rFonts w:ascii="Calibri" w:hAnsi="Calibri" w:cs="Calibri"/>
      <w:b/>
      <w:bCs/>
      <w:sz w:val="28"/>
      <w:szCs w:val="28"/>
    </w:rPr>
  </w:style>
  <w:style w:type="character" w:customStyle="1" w:styleId="Titolo9Carattere">
    <w:name w:val="Titolo 9 Carattere"/>
    <w:basedOn w:val="Carpredefinitoparagrafo"/>
    <w:link w:val="Titolo9"/>
    <w:uiPriority w:val="99"/>
    <w:locked/>
    <w:rsid w:val="001B6E60"/>
    <w:rPr>
      <w:rFonts w:ascii="Cambria" w:hAnsi="Cambria" w:cs="Cambria"/>
    </w:rPr>
  </w:style>
  <w:style w:type="paragraph" w:styleId="Corpodeltesto">
    <w:name w:val="Body Text"/>
    <w:basedOn w:val="Normale"/>
    <w:link w:val="CorpodeltestoCarattere"/>
    <w:uiPriority w:val="99"/>
    <w:rsid w:val="001B6E60"/>
    <w:rPr>
      <w:sz w:val="24"/>
      <w:szCs w:val="24"/>
    </w:rPr>
  </w:style>
  <w:style w:type="character" w:customStyle="1" w:styleId="CorpodeltestoCarattere">
    <w:name w:val="Corpo del testo Carattere"/>
    <w:basedOn w:val="Carpredefinitoparagrafo"/>
    <w:link w:val="Corpodeltesto"/>
    <w:uiPriority w:val="99"/>
    <w:locked/>
    <w:rsid w:val="001B6E60"/>
    <w:rPr>
      <w:rFonts w:ascii="Times New Roman" w:hAnsi="Times New Roman" w:cs="Times New Roman"/>
      <w:sz w:val="20"/>
      <w:szCs w:val="20"/>
    </w:rPr>
  </w:style>
  <w:style w:type="paragraph" w:styleId="Corpodeltesto2">
    <w:name w:val="Body Text 2"/>
    <w:basedOn w:val="Normale"/>
    <w:link w:val="Corpodeltesto2Carattere"/>
    <w:uiPriority w:val="99"/>
    <w:rsid w:val="001B6E60"/>
    <w:pPr>
      <w:jc w:val="both"/>
    </w:pPr>
    <w:rPr>
      <w:sz w:val="24"/>
      <w:szCs w:val="24"/>
    </w:rPr>
  </w:style>
  <w:style w:type="character" w:customStyle="1" w:styleId="Corpodeltesto2Carattere">
    <w:name w:val="Corpo del testo 2 Carattere"/>
    <w:basedOn w:val="Carpredefinitoparagrafo"/>
    <w:link w:val="Corpodeltesto2"/>
    <w:uiPriority w:val="99"/>
    <w:locked/>
    <w:rsid w:val="001B6E60"/>
    <w:rPr>
      <w:rFonts w:ascii="Times New Roman" w:hAnsi="Times New Roman" w:cs="Times New Roman"/>
      <w:sz w:val="20"/>
      <w:szCs w:val="20"/>
    </w:rPr>
  </w:style>
  <w:style w:type="character" w:styleId="Collegamentoipertestuale">
    <w:name w:val="Hyperlink"/>
    <w:basedOn w:val="Carpredefinitoparagrafo"/>
    <w:uiPriority w:val="99"/>
    <w:rsid w:val="001B6E60"/>
    <w:rPr>
      <w:rFonts w:ascii="Times New Roman" w:hAnsi="Times New Roman" w:cs="Times New Roman"/>
      <w:color w:val="0000FF"/>
      <w:u w:val="single"/>
    </w:rPr>
  </w:style>
  <w:style w:type="paragraph" w:styleId="Intestazione">
    <w:name w:val="header"/>
    <w:basedOn w:val="Normale"/>
    <w:link w:val="IntestazioneCarattere"/>
    <w:uiPriority w:val="99"/>
    <w:rsid w:val="001B6E60"/>
    <w:pPr>
      <w:tabs>
        <w:tab w:val="center" w:pos="4819"/>
        <w:tab w:val="right" w:pos="9638"/>
      </w:tabs>
    </w:pPr>
  </w:style>
  <w:style w:type="character" w:customStyle="1" w:styleId="IntestazioneCarattere">
    <w:name w:val="Intestazione Carattere"/>
    <w:basedOn w:val="Carpredefinitoparagrafo"/>
    <w:link w:val="Intestazione"/>
    <w:uiPriority w:val="99"/>
    <w:locked/>
    <w:rsid w:val="001B6E60"/>
    <w:rPr>
      <w:rFonts w:ascii="Times New Roman" w:hAnsi="Times New Roman" w:cs="Times New Roman"/>
      <w:sz w:val="20"/>
      <w:szCs w:val="20"/>
    </w:rPr>
  </w:style>
  <w:style w:type="paragraph" w:styleId="Pidipagina">
    <w:name w:val="footer"/>
    <w:basedOn w:val="Normale"/>
    <w:link w:val="PidipaginaCarattere"/>
    <w:uiPriority w:val="99"/>
    <w:rsid w:val="001B6E60"/>
    <w:pPr>
      <w:tabs>
        <w:tab w:val="center" w:pos="4819"/>
        <w:tab w:val="right" w:pos="9638"/>
      </w:tabs>
    </w:pPr>
  </w:style>
  <w:style w:type="character" w:customStyle="1" w:styleId="PidipaginaCarattere">
    <w:name w:val="Piè di pagina Carattere"/>
    <w:basedOn w:val="Carpredefinitoparagrafo"/>
    <w:link w:val="Pidipagina"/>
    <w:uiPriority w:val="99"/>
    <w:locked/>
    <w:rsid w:val="001B6E60"/>
    <w:rPr>
      <w:rFonts w:ascii="Times New Roman" w:hAnsi="Times New Roman" w:cs="Times New Roman"/>
      <w:sz w:val="20"/>
      <w:szCs w:val="20"/>
    </w:rPr>
  </w:style>
  <w:style w:type="paragraph" w:customStyle="1" w:styleId="Default">
    <w:name w:val="Default"/>
    <w:uiPriority w:val="99"/>
    <w:rsid w:val="001B6E60"/>
    <w:pPr>
      <w:widowControl w:val="0"/>
      <w:autoSpaceDE w:val="0"/>
      <w:autoSpaceDN w:val="0"/>
      <w:adjustRightInd w:val="0"/>
    </w:pPr>
    <w:rPr>
      <w:rFonts w:ascii="Arial" w:hAnsi="Arial" w:cs="Arial"/>
      <w:color w:val="000000"/>
      <w:sz w:val="24"/>
      <w:szCs w:val="24"/>
    </w:rPr>
  </w:style>
  <w:style w:type="character" w:styleId="Collegamentovisitato">
    <w:name w:val="FollowedHyperlink"/>
    <w:basedOn w:val="Carpredefinitoparagrafo"/>
    <w:uiPriority w:val="99"/>
    <w:rsid w:val="001B6E60"/>
    <w:rPr>
      <w:rFonts w:ascii="Times New Roman" w:hAnsi="Times New Roman" w:cs="Times New Roman"/>
      <w:color w:val="800080"/>
      <w:u w:val="single"/>
    </w:rPr>
  </w:style>
  <w:style w:type="character" w:styleId="Numeropagina">
    <w:name w:val="page number"/>
    <w:basedOn w:val="Carpredefinitoparagrafo"/>
    <w:uiPriority w:val="99"/>
    <w:rsid w:val="001B6E60"/>
    <w:rPr>
      <w:rFonts w:ascii="Times New Roman" w:hAnsi="Times New Roman" w:cs="Times New Roman"/>
    </w:rPr>
  </w:style>
  <w:style w:type="paragraph" w:styleId="Rientrocorpodeltesto">
    <w:name w:val="Body Text Indent"/>
    <w:basedOn w:val="Normale"/>
    <w:link w:val="RientrocorpodeltestoCarattere"/>
    <w:uiPriority w:val="99"/>
    <w:semiHidden/>
    <w:rsid w:val="00E02776"/>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E02776"/>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ispoloamantea.gov.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IS014008@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iispoloamantea.gov.it/" TargetMode="External"/><Relationship Id="rId10"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3158</Characters>
  <Application>Microsoft Office Word</Application>
  <DocSecurity>0</DocSecurity>
  <Lines>26</Lines>
  <Paragraphs>7</Paragraphs>
  <ScaleCrop>false</ScaleCrop>
  <Company>MORTATI</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“C</dc:title>
  <dc:subject/>
  <dc:creator>ITC</dc:creator>
  <cp:keywords/>
  <dc:description/>
  <cp:lastModifiedBy>utente</cp:lastModifiedBy>
  <cp:revision>2</cp:revision>
  <cp:lastPrinted>2015-01-07T07:55:00Z</cp:lastPrinted>
  <dcterms:created xsi:type="dcterms:W3CDTF">2015-10-15T16:46:00Z</dcterms:created>
  <dcterms:modified xsi:type="dcterms:W3CDTF">2015-10-15T16:46:00Z</dcterms:modified>
</cp:coreProperties>
</file>